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3C9" w:rsidRDefault="003A43C9" w:rsidP="00B57E2A">
      <w:pPr>
        <w:spacing w:after="0"/>
        <w:jc w:val="center"/>
        <w:rPr>
          <w:b/>
        </w:rPr>
      </w:pPr>
      <w:r>
        <w:rPr>
          <w:b/>
        </w:rPr>
        <w:t>Dijak dijaki - kulturna prireditev z dobrodelnim bazarjem</w:t>
      </w:r>
    </w:p>
    <w:p w:rsidR="003A43C9" w:rsidRDefault="003A43C9" w:rsidP="00B57E2A">
      <w:pPr>
        <w:spacing w:after="0"/>
        <w:jc w:val="center"/>
        <w:rPr>
          <w:b/>
        </w:rPr>
      </w:pPr>
      <w:r>
        <w:rPr>
          <w:b/>
        </w:rPr>
        <w:t>Predavalnica in avla Gimnazije Škofja Loka</w:t>
      </w:r>
    </w:p>
    <w:p w:rsidR="003A43C9" w:rsidRPr="00676BDC" w:rsidRDefault="003A43C9" w:rsidP="00B57E2A">
      <w:pPr>
        <w:spacing w:after="0"/>
        <w:jc w:val="center"/>
        <w:rPr>
          <w:b/>
        </w:rPr>
      </w:pPr>
      <w:r>
        <w:rPr>
          <w:b/>
        </w:rPr>
        <w:t>1. december ob 18. uri</w:t>
      </w:r>
    </w:p>
    <w:p w:rsidR="00B57E2A" w:rsidRDefault="00B57E2A" w:rsidP="00B57E2A">
      <w:pPr>
        <w:spacing w:after="0"/>
        <w:jc w:val="both"/>
      </w:pPr>
    </w:p>
    <w:p w:rsidR="00402A1C" w:rsidRDefault="00402A1C" w:rsidP="00B57E2A">
      <w:pPr>
        <w:spacing w:after="0"/>
        <w:jc w:val="both"/>
        <w:rPr>
          <w:u w:val="single"/>
        </w:rPr>
      </w:pPr>
      <w:bookmarkStart w:id="0" w:name="_GoBack"/>
      <w:bookmarkEnd w:id="0"/>
    </w:p>
    <w:p w:rsidR="00B57E2A" w:rsidRPr="0088564C" w:rsidRDefault="00B57E2A" w:rsidP="00B57E2A">
      <w:pPr>
        <w:spacing w:after="0"/>
        <w:jc w:val="both"/>
        <w:rPr>
          <w:u w:val="single"/>
        </w:rPr>
      </w:pPr>
      <w:r w:rsidRPr="0088564C">
        <w:rPr>
          <w:u w:val="single"/>
        </w:rPr>
        <w:t xml:space="preserve">Cilj projekta: </w:t>
      </w:r>
    </w:p>
    <w:p w:rsidR="00B57E2A" w:rsidRDefault="00B57E2A" w:rsidP="00B57E2A">
      <w:pPr>
        <w:spacing w:after="0"/>
        <w:jc w:val="both"/>
      </w:pPr>
    </w:p>
    <w:p w:rsidR="00B57E2A" w:rsidRDefault="00B57E2A" w:rsidP="00B57E2A">
      <w:pPr>
        <w:pStyle w:val="Odstavekseznama"/>
        <w:numPr>
          <w:ilvl w:val="0"/>
          <w:numId w:val="1"/>
        </w:numPr>
        <w:spacing w:after="0"/>
        <w:jc w:val="both"/>
      </w:pPr>
      <w:r>
        <w:t>čim več obiskovalcev, čim več zbranih sredstev za Gaudemaus</w:t>
      </w:r>
    </w:p>
    <w:p w:rsidR="00B57E2A" w:rsidRDefault="00B57E2A" w:rsidP="00B57E2A">
      <w:pPr>
        <w:pStyle w:val="Odstavekseznama"/>
        <w:numPr>
          <w:ilvl w:val="0"/>
          <w:numId w:val="1"/>
        </w:numPr>
        <w:spacing w:after="0"/>
        <w:jc w:val="both"/>
      </w:pPr>
      <w:r>
        <w:t>medsebojno sodelovanje dijakov posameznega razreda</w:t>
      </w:r>
    </w:p>
    <w:p w:rsidR="00B57E2A" w:rsidRDefault="00B57E2A" w:rsidP="00B57E2A">
      <w:pPr>
        <w:pStyle w:val="Odstavekseznama"/>
        <w:numPr>
          <w:ilvl w:val="0"/>
          <w:numId w:val="1"/>
        </w:numPr>
        <w:spacing w:after="0"/>
        <w:jc w:val="both"/>
      </w:pPr>
      <w:r>
        <w:t>razvijanje podjetniške kompetence</w:t>
      </w:r>
    </w:p>
    <w:p w:rsidR="00B57E2A" w:rsidRDefault="00B57E2A" w:rsidP="00B57E2A">
      <w:pPr>
        <w:pStyle w:val="Odstavekseznama"/>
        <w:numPr>
          <w:ilvl w:val="0"/>
          <w:numId w:val="1"/>
        </w:numPr>
        <w:spacing w:after="0"/>
        <w:jc w:val="both"/>
      </w:pPr>
      <w:r>
        <w:t>večja prepoznavnost sklada Gaudeamus</w:t>
      </w:r>
    </w:p>
    <w:p w:rsidR="00B57E2A" w:rsidRDefault="00B57E2A" w:rsidP="00B57E2A">
      <w:pPr>
        <w:spacing w:after="0"/>
        <w:jc w:val="both"/>
      </w:pPr>
    </w:p>
    <w:p w:rsidR="00B57E2A" w:rsidRPr="0088564C" w:rsidRDefault="00B57E2A" w:rsidP="00B57E2A">
      <w:pPr>
        <w:spacing w:after="0"/>
        <w:jc w:val="both"/>
        <w:rPr>
          <w:u w:val="single"/>
        </w:rPr>
      </w:pPr>
      <w:r w:rsidRPr="0088564C">
        <w:rPr>
          <w:u w:val="single"/>
        </w:rPr>
        <w:t xml:space="preserve">Potek: </w:t>
      </w:r>
    </w:p>
    <w:p w:rsidR="00B57E2A" w:rsidRDefault="00B57E2A" w:rsidP="00B57E2A">
      <w:pPr>
        <w:spacing w:after="0"/>
        <w:jc w:val="both"/>
      </w:pPr>
    </w:p>
    <w:p w:rsidR="00B57E2A" w:rsidRDefault="00B57E2A" w:rsidP="00B57E2A">
      <w:pPr>
        <w:spacing w:after="0"/>
        <w:jc w:val="both"/>
      </w:pPr>
      <w:r>
        <w:t xml:space="preserve">Šest oddelkov  drugega letnika med seboj tekmuje, kdo bo zbral največ sredstev za naš sklad in kdo bo na prireditev privabil največ ljudi. </w:t>
      </w:r>
    </w:p>
    <w:p w:rsidR="00B57E2A" w:rsidRDefault="00B57E2A" w:rsidP="00B57E2A">
      <w:pPr>
        <w:spacing w:after="0"/>
        <w:jc w:val="both"/>
      </w:pPr>
      <w:r>
        <w:t xml:space="preserve">Nagrajen oddelek bo iz sklada Gaudeamus prejel nagrado v višini 300 €, ki jih bodo dijaki lahko porabili za neko dejavnost, pri kateri bodo vsi prisotni (zaključni izlet, London - ?).  </w:t>
      </w:r>
    </w:p>
    <w:p w:rsidR="00DF2CCA" w:rsidRDefault="00DF2CCA" w:rsidP="00B57E2A">
      <w:pPr>
        <w:spacing w:after="0"/>
        <w:jc w:val="both"/>
        <w:rPr>
          <w:b/>
        </w:rPr>
      </w:pPr>
    </w:p>
    <w:p w:rsidR="00B57E2A" w:rsidRDefault="00B57E2A" w:rsidP="00B57E2A">
      <w:pPr>
        <w:spacing w:after="0"/>
        <w:jc w:val="both"/>
        <w:rPr>
          <w:b/>
        </w:rPr>
      </w:pPr>
      <w:r w:rsidRPr="0088564C">
        <w:rPr>
          <w:b/>
        </w:rPr>
        <w:t xml:space="preserve">Kriteriji za izbor najbolj podjetnega razreda: </w:t>
      </w:r>
    </w:p>
    <w:p w:rsidR="00402A1C" w:rsidRPr="0088564C" w:rsidRDefault="00402A1C" w:rsidP="00B57E2A">
      <w:pPr>
        <w:spacing w:after="0"/>
        <w:jc w:val="both"/>
        <w:rPr>
          <w:b/>
        </w:rPr>
      </w:pPr>
    </w:p>
    <w:p w:rsidR="00DF2CCA" w:rsidRDefault="00B57E2A" w:rsidP="00B57E2A">
      <w:pPr>
        <w:pStyle w:val="Odstavekseznama"/>
        <w:numPr>
          <w:ilvl w:val="0"/>
          <w:numId w:val="2"/>
        </w:numPr>
        <w:spacing w:after="0"/>
        <w:jc w:val="both"/>
      </w:pPr>
      <w:r>
        <w:t xml:space="preserve">Dijaki delijo potencialnim obiskovalcem barvne (vsak oddelek svoja barva) brezplačne vstopnice, ki jih delijo v tednu pred prireditvijo izven šole. </w:t>
      </w:r>
      <w:r w:rsidR="00DF2CCA">
        <w:t>Ob vstopu v predavalnico vsak obiskovalec odda vstopnico, ki jih n</w:t>
      </w:r>
      <w:r>
        <w:t>a koncu prireditve preštejemo. Oddelek, ki je uspel zagotovil največ obiskovalce</w:t>
      </w:r>
      <w:r w:rsidR="00DF2CCA">
        <w:t>v (ki niso naši dijaki), dobi 6 točk, naslednji 5 točk, naslednji 4 točke</w:t>
      </w:r>
      <w:r>
        <w:t xml:space="preserve"> </w:t>
      </w:r>
      <w:r w:rsidR="00DF2CCA">
        <w:t xml:space="preserve">... </w:t>
      </w:r>
      <w:r>
        <w:t>in oddelek, ki je razdelil najmanj vstopnic</w:t>
      </w:r>
      <w:r w:rsidR="00DF2CCA">
        <w:t>,</w:t>
      </w:r>
      <w:r>
        <w:t xml:space="preserve"> 1 točko. </w:t>
      </w:r>
    </w:p>
    <w:p w:rsidR="00B57E2A" w:rsidRDefault="00DF2CCA" w:rsidP="00DF2CCA">
      <w:pPr>
        <w:pStyle w:val="Odstavekseznama"/>
        <w:spacing w:after="0"/>
        <w:jc w:val="both"/>
      </w:pPr>
      <w:r>
        <w:t xml:space="preserve">Kart </w:t>
      </w:r>
      <w:r w:rsidRPr="00DF2CCA">
        <w:rPr>
          <w:b/>
        </w:rPr>
        <w:t>ne</w:t>
      </w:r>
      <w:r>
        <w:t xml:space="preserve"> razdeljujejo  otrokom oz. drugim dijakom in profesorjem. </w:t>
      </w:r>
    </w:p>
    <w:p w:rsidR="00DF2CCA" w:rsidRDefault="00DF2CCA" w:rsidP="00DF2CCA">
      <w:pPr>
        <w:pStyle w:val="Odstavekseznama"/>
        <w:spacing w:after="0"/>
        <w:jc w:val="both"/>
      </w:pPr>
    </w:p>
    <w:p w:rsidR="00A67AB1" w:rsidRDefault="00A67AB1" w:rsidP="00B57E2A">
      <w:pPr>
        <w:pStyle w:val="Odstavekseznama"/>
        <w:numPr>
          <w:ilvl w:val="0"/>
          <w:numId w:val="2"/>
        </w:numPr>
        <w:spacing w:after="0"/>
        <w:jc w:val="both"/>
      </w:pPr>
      <w:r>
        <w:t xml:space="preserve">Vsak razred dobi </w:t>
      </w:r>
      <w:r w:rsidR="00402A1C">
        <w:t>»</w:t>
      </w:r>
      <w:r>
        <w:t>stojnico</w:t>
      </w:r>
      <w:r w:rsidR="00402A1C">
        <w:t>« (veliko mizo iz jedilnice)</w:t>
      </w:r>
      <w:r>
        <w:t>, ki jo opremi v skladu z izdelki, ki jih ponuja. Mest</w:t>
      </w:r>
      <w:r w:rsidR="00DF2CCA">
        <w:t xml:space="preserve">o stojnic in barve določi žreb, in sicer: </w:t>
      </w:r>
    </w:p>
    <w:p w:rsidR="00DF2CCA" w:rsidRPr="00DF2CCA" w:rsidRDefault="00DF2CCA" w:rsidP="00DF2CCA">
      <w:pPr>
        <w:pStyle w:val="Odstavekseznama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  <w:r w:rsidRPr="00DF2CCA">
        <w:rPr>
          <w:rFonts w:ascii="Arial" w:eastAsia="Times New Roman" w:hAnsi="Arial" w:cs="Arial"/>
          <w:color w:val="222222"/>
          <w:sz w:val="19"/>
          <w:szCs w:val="19"/>
          <w:lang w:eastAsia="sl-SI"/>
        </w:rPr>
        <w:t> </w:t>
      </w:r>
    </w:p>
    <w:tbl>
      <w:tblPr>
        <w:tblW w:w="0" w:type="auto"/>
        <w:tblInd w:w="6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709"/>
        <w:gridCol w:w="2835"/>
        <w:gridCol w:w="2126"/>
        <w:gridCol w:w="1119"/>
      </w:tblGrid>
      <w:tr w:rsidR="00DF2CCA" w:rsidRPr="00DF2CCA" w:rsidTr="00DF2CCA"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CCA" w:rsidRPr="00DF2CCA" w:rsidRDefault="00DF2CCA" w:rsidP="00DF2CCA">
            <w:pPr>
              <w:spacing w:after="0" w:line="576" w:lineRule="atLeast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</w:pPr>
            <w:r w:rsidRPr="00DF2CCA"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  <w:t>Stojnica 3 (zelena)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CCA" w:rsidRPr="00DF2CCA" w:rsidRDefault="00DF2CCA" w:rsidP="00DF2CCA">
            <w:pPr>
              <w:spacing w:after="0" w:line="576" w:lineRule="atLeast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</w:pPr>
            <w:r w:rsidRPr="00DF2CCA"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  <w:t>2. š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CCA" w:rsidRPr="00DF2CCA" w:rsidRDefault="00DF2CCA" w:rsidP="00DF2CCA">
            <w:pPr>
              <w:spacing w:after="0" w:line="576" w:lineRule="atLeast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</w:pPr>
            <w:r w:rsidRPr="00DF2CCA"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CCA" w:rsidRPr="00DF2CCA" w:rsidRDefault="00DF2CCA" w:rsidP="00DF2CCA">
            <w:pPr>
              <w:spacing w:after="0" w:line="576" w:lineRule="atLeast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</w:pPr>
            <w:r w:rsidRPr="00DF2CCA"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  <w:t>Stojnica 4 (rumena)</w:t>
            </w:r>
          </w:p>
        </w:tc>
        <w:tc>
          <w:tcPr>
            <w:tcW w:w="11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CCA" w:rsidRPr="00DF2CCA" w:rsidRDefault="00DF2CCA" w:rsidP="00DF2CCA">
            <w:pPr>
              <w:spacing w:after="0" w:line="576" w:lineRule="atLeast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</w:pPr>
            <w:r w:rsidRPr="00DF2CCA"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  <w:t>2. b</w:t>
            </w:r>
          </w:p>
        </w:tc>
      </w:tr>
      <w:tr w:rsidR="00DF2CCA" w:rsidRPr="00DF2CCA" w:rsidTr="00DF2CCA"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CCA" w:rsidRPr="00DF2CCA" w:rsidRDefault="00DF2CCA" w:rsidP="00DF2CCA">
            <w:pPr>
              <w:spacing w:after="0" w:line="576" w:lineRule="atLeast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</w:pPr>
            <w:r w:rsidRPr="00DF2CCA"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  <w:t>Stojnica 2 (oranžna)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CCA" w:rsidRPr="00DF2CCA" w:rsidRDefault="00DF2CCA" w:rsidP="00DF2CCA">
            <w:pPr>
              <w:spacing w:after="0" w:line="576" w:lineRule="atLeast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</w:pPr>
            <w:r w:rsidRPr="00DF2CCA"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  <w:t>2. 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CCA" w:rsidRPr="00DF2CCA" w:rsidRDefault="00DF2CCA" w:rsidP="00DF2CCA">
            <w:pPr>
              <w:spacing w:after="0" w:line="576" w:lineRule="atLeast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</w:pPr>
            <w:r w:rsidRPr="00DF2CCA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eastAsia="sl-SI"/>
              </w:rPr>
              <w:t>avla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CCA" w:rsidRPr="00DF2CCA" w:rsidRDefault="00DF2CCA" w:rsidP="00DF2CCA">
            <w:pPr>
              <w:spacing w:after="0" w:line="576" w:lineRule="atLeast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</w:pPr>
            <w:r w:rsidRPr="00DF2CCA"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  <w:t>Stojnica 5 (rdeča)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CCA" w:rsidRPr="00DF2CCA" w:rsidRDefault="00DF2CCA" w:rsidP="00DF2CCA">
            <w:pPr>
              <w:spacing w:after="0" w:line="576" w:lineRule="atLeast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</w:pPr>
            <w:r w:rsidRPr="00DF2CCA"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  <w:t>2. d</w:t>
            </w:r>
          </w:p>
        </w:tc>
      </w:tr>
      <w:tr w:rsidR="00DF2CCA" w:rsidRPr="00DF2CCA" w:rsidTr="00DF2CCA"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CCA" w:rsidRPr="00DF2CCA" w:rsidRDefault="00DF2CCA" w:rsidP="00DF2CCA">
            <w:pPr>
              <w:spacing w:after="0" w:line="576" w:lineRule="atLeast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</w:pPr>
            <w:r w:rsidRPr="00DF2CCA"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  <w:t>Stojnica 1(vijoličasta)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CCA" w:rsidRPr="00DF2CCA" w:rsidRDefault="00DF2CCA" w:rsidP="00DF2CCA">
            <w:pPr>
              <w:spacing w:after="0" w:line="576" w:lineRule="atLeast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</w:pPr>
            <w:r w:rsidRPr="00DF2CCA"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  <w:t>2. 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CCA" w:rsidRPr="00DF2CCA" w:rsidRDefault="00DF2CCA" w:rsidP="00DF2CCA">
            <w:pPr>
              <w:spacing w:after="0" w:line="576" w:lineRule="atLeast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</w:pPr>
            <w:r w:rsidRPr="00DF2CCA"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CCA" w:rsidRPr="00DF2CCA" w:rsidRDefault="00DF2CCA" w:rsidP="00DF2CCA">
            <w:pPr>
              <w:spacing w:after="0" w:line="576" w:lineRule="atLeast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</w:pPr>
            <w:r w:rsidRPr="00DF2CCA"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  <w:t>Stojnica 6 (modra)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CCA" w:rsidRPr="00DF2CCA" w:rsidRDefault="00DF2CCA" w:rsidP="00DF2CCA">
            <w:pPr>
              <w:spacing w:after="0" w:line="576" w:lineRule="atLeast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</w:pPr>
            <w:r w:rsidRPr="00DF2CCA"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  <w:t>2. a</w:t>
            </w:r>
          </w:p>
        </w:tc>
      </w:tr>
    </w:tbl>
    <w:p w:rsidR="00DF2CCA" w:rsidRDefault="00DF2CCA" w:rsidP="00DF2CCA">
      <w:pPr>
        <w:spacing w:after="0"/>
        <w:jc w:val="both"/>
      </w:pPr>
    </w:p>
    <w:p w:rsidR="00DF2CCA" w:rsidRDefault="00402A1C" w:rsidP="00402A1C">
      <w:pPr>
        <w:spacing w:after="0"/>
        <w:ind w:left="426"/>
        <w:jc w:val="both"/>
      </w:pPr>
      <w:r>
        <w:lastRenderedPageBreak/>
        <w:t xml:space="preserve">            </w:t>
      </w:r>
      <w:r w:rsidR="00D800F2">
        <w:t xml:space="preserve"> Za stojnicami bo vsak razred dobil pano, ki ga bo lahko </w:t>
      </w:r>
      <w:r>
        <w:t>okrasil po svoje, se predstavil</w:t>
      </w:r>
      <w:r w:rsidR="00D800F2">
        <w:t xml:space="preserve"> ...</w:t>
      </w:r>
      <w:r>
        <w:t xml:space="preserve"> Vsaka  stojnica dobi tudi električni podaljšek. Razredi, ki bi želeli kuhati, peči, cvreti ..., tega ne smejo početi v avli, ampak zunaj. O tem, kje in kako, naj se dogovorijo z ravnateljem. </w:t>
      </w:r>
    </w:p>
    <w:p w:rsidR="00402A1C" w:rsidRDefault="00402A1C" w:rsidP="00DF2CCA">
      <w:pPr>
        <w:spacing w:after="0"/>
        <w:jc w:val="both"/>
      </w:pPr>
    </w:p>
    <w:p w:rsidR="00DF2CCA" w:rsidRDefault="00B57E2A" w:rsidP="00B57E2A">
      <w:pPr>
        <w:pStyle w:val="Odstavekseznama"/>
        <w:numPr>
          <w:ilvl w:val="0"/>
          <w:numId w:val="2"/>
        </w:numPr>
        <w:spacing w:after="0"/>
        <w:jc w:val="both"/>
      </w:pPr>
      <w:r>
        <w:t xml:space="preserve">Dijaki na prireditvi prodajajo različne izdelke, ki jih opremijo z logom Gaudeamusa. </w:t>
      </w:r>
      <w:r w:rsidR="00DF2CCA">
        <w:t>Lahko tudi zbirajo donacije. Pisne vloge za potencialne donatorje dobijo pri Saši. Izdelke, ki jih ne bodo uspeli prodati na prireditvi, lahko še v ponedeljek  prodajajo v šoli učiteljem in dijakom. Prispevke zbiramo do ponedeljka, 4. 12., do 13. ure, ko bomo naredili obračun.</w:t>
      </w:r>
    </w:p>
    <w:p w:rsidR="00B57E2A" w:rsidRDefault="00DF2CCA" w:rsidP="00DF2CCA">
      <w:pPr>
        <w:pStyle w:val="Odstavekseznama"/>
        <w:spacing w:after="0"/>
        <w:jc w:val="both"/>
      </w:pPr>
      <w:r>
        <w:t xml:space="preserve">Vsoto, ki jo bo zbral posamezni razred, bomo delili s številom dijakov in tako dobili višino prispevka na dijaka. Razred, ki na dijaka zbere največ denarja,  dobi 6 točk, naslednji 5, naslednji 4 ...  točke </w:t>
      </w:r>
      <w:r w:rsidR="00B57E2A">
        <w:t xml:space="preserve"> in zadnji eno točko. </w:t>
      </w:r>
    </w:p>
    <w:p w:rsidR="00D800F2" w:rsidRDefault="00D800F2" w:rsidP="00DF2CCA">
      <w:pPr>
        <w:pStyle w:val="Odstavekseznama"/>
        <w:spacing w:after="0"/>
        <w:jc w:val="both"/>
      </w:pPr>
    </w:p>
    <w:p w:rsidR="00B57E2A" w:rsidRDefault="00B57E2A" w:rsidP="00B57E2A">
      <w:pPr>
        <w:pStyle w:val="Odstavekseznama"/>
        <w:numPr>
          <w:ilvl w:val="0"/>
          <w:numId w:val="2"/>
        </w:numPr>
        <w:spacing w:after="0"/>
        <w:jc w:val="both"/>
      </w:pPr>
      <w:r>
        <w:t xml:space="preserve">Točkovalo se bo tudi </w:t>
      </w:r>
      <w:r w:rsidR="00D800F2">
        <w:t>medsebojno sodelovanje, vnemo oziroma zagretost oddelka, izbirnost izdelkov in okrasitve stojnice ... To</w:t>
      </w:r>
      <w:r>
        <w:t xml:space="preserve"> bomo člani komisije ocenjevali med potekom projekta. Tudi ta kategorij</w:t>
      </w:r>
      <w:r w:rsidR="00D800F2">
        <w:t>a se bo točkovala s točkami od 6</w:t>
      </w:r>
      <w:r>
        <w:t xml:space="preserve"> do 1 točke.  </w:t>
      </w:r>
      <w:r w:rsidR="00D800F2">
        <w:t>Člani komisije (Jože Bogataj, Irena Florjančič in Tanja Gartner) po posvetu razdelijo točke.</w:t>
      </w:r>
    </w:p>
    <w:p w:rsidR="00D800F2" w:rsidRDefault="00D800F2" w:rsidP="00D800F2">
      <w:pPr>
        <w:pStyle w:val="Odstavekseznama"/>
        <w:spacing w:after="0"/>
        <w:jc w:val="both"/>
      </w:pPr>
    </w:p>
    <w:p w:rsidR="00D800F2" w:rsidRDefault="00D800F2" w:rsidP="00DB64EC">
      <w:pPr>
        <w:pStyle w:val="Odstavekseznama"/>
        <w:numPr>
          <w:ilvl w:val="0"/>
          <w:numId w:val="2"/>
        </w:numPr>
        <w:spacing w:after="0"/>
        <w:jc w:val="both"/>
      </w:pPr>
      <w:r>
        <w:t>Dodatni 2 točki dobi razred, katerega geslo bo izbrano za  letošnjo prireditev (tema je uravnoteženost) in oblikuje plakate. Gesla zbiramo do 17. novembra.</w:t>
      </w:r>
    </w:p>
    <w:p w:rsidR="00402A1C" w:rsidRDefault="00402A1C" w:rsidP="00402A1C">
      <w:pPr>
        <w:pStyle w:val="Odstavekseznama"/>
      </w:pPr>
    </w:p>
    <w:p w:rsidR="00402A1C" w:rsidRDefault="00402A1C" w:rsidP="00402A1C">
      <w:pPr>
        <w:pStyle w:val="Odstavekseznama"/>
        <w:numPr>
          <w:ilvl w:val="0"/>
          <w:numId w:val="2"/>
        </w:numPr>
        <w:spacing w:after="0"/>
        <w:jc w:val="both"/>
      </w:pPr>
      <w:r>
        <w:t>Po prireditvi dijaki pospravijo izdelke in dekoracijo ter odnesejo vse, kar v avlo ne sodi. Pokrbijo za odpadke (embalaža ...).</w:t>
      </w:r>
    </w:p>
    <w:p w:rsidR="00402A1C" w:rsidRDefault="00402A1C" w:rsidP="00402A1C">
      <w:pPr>
        <w:pStyle w:val="Odstavekseznama"/>
        <w:spacing w:after="0"/>
        <w:jc w:val="both"/>
      </w:pPr>
    </w:p>
    <w:p w:rsidR="00B57E2A" w:rsidRDefault="00A67AB1" w:rsidP="00563399">
      <w:pPr>
        <w:pStyle w:val="Odstavekseznama"/>
        <w:numPr>
          <w:ilvl w:val="0"/>
          <w:numId w:val="2"/>
        </w:numPr>
        <w:spacing w:after="0"/>
        <w:jc w:val="both"/>
      </w:pPr>
      <w:r>
        <w:t xml:space="preserve">Najpomembnejše načelo je </w:t>
      </w:r>
      <w:r w:rsidR="00B57E2A">
        <w:t xml:space="preserve"> fair play. Če dijaki ravnajo nemoralno (goljufajo, zavajajo, nelojalno konkurirajo drugim razredom ...), izgubijo vse točke v določeni postavki. Namen projekta je </w:t>
      </w:r>
      <w:r w:rsidR="00B57E2A" w:rsidRPr="00D800F2">
        <w:rPr>
          <w:b/>
        </w:rPr>
        <w:t>dobrodelnos</w:t>
      </w:r>
      <w:r w:rsidR="00B57E2A">
        <w:t xml:space="preserve">t, </w:t>
      </w:r>
      <w:r>
        <w:t xml:space="preserve">zato </w:t>
      </w:r>
      <w:r w:rsidR="007B7311">
        <w:t>ne želimo zaostrovati</w:t>
      </w:r>
      <w:r w:rsidR="00B57E2A">
        <w:t xml:space="preserve"> tekmovalnosti. Dovolj priložnosti je, da se</w:t>
      </w:r>
      <w:r>
        <w:t xml:space="preserve"> dijaki </w:t>
      </w:r>
      <w:r w:rsidR="00B57E2A">
        <w:t xml:space="preserve"> izkažejo s svojo ustvarjalnostjo, delavnostjo in prizadevnostjo.</w:t>
      </w:r>
    </w:p>
    <w:p w:rsidR="00B57E2A" w:rsidRDefault="00B57E2A" w:rsidP="00B57E2A">
      <w:pPr>
        <w:pStyle w:val="Odstavekseznama"/>
        <w:spacing w:after="0"/>
        <w:jc w:val="both"/>
      </w:pPr>
    </w:p>
    <w:p w:rsidR="00B57E2A" w:rsidRDefault="00B57E2A" w:rsidP="00B57E2A">
      <w:pPr>
        <w:spacing w:after="0"/>
        <w:jc w:val="both"/>
      </w:pPr>
    </w:p>
    <w:p w:rsidR="00B57E2A" w:rsidRDefault="00B57E2A" w:rsidP="00B57E2A">
      <w:pPr>
        <w:spacing w:after="0"/>
        <w:jc w:val="both"/>
      </w:pPr>
      <w:r>
        <w:t xml:space="preserve">Razglasitev rezultatov in podelitev nagrade ter torte za najboljši oddelek bo </w:t>
      </w:r>
      <w:r w:rsidR="00D800F2">
        <w:t>v torek, 5. 12. 2017</w:t>
      </w:r>
      <w:r>
        <w:t xml:space="preserve">, </w:t>
      </w:r>
      <w:r w:rsidR="00D800F2">
        <w:t>5. šolsko uro (po malici) v predavalnici. Na razglasitev bodo povabljeni vsi oddelki z razredniki ter tudi ostali profesorji.</w:t>
      </w:r>
    </w:p>
    <w:p w:rsidR="00B57E2A" w:rsidRDefault="00B57E2A" w:rsidP="00B57E2A">
      <w:pPr>
        <w:spacing w:after="0"/>
        <w:jc w:val="both"/>
      </w:pPr>
    </w:p>
    <w:p w:rsidR="00D15050" w:rsidRDefault="00D15050" w:rsidP="00B57E2A">
      <w:pPr>
        <w:spacing w:after="0"/>
        <w:jc w:val="both"/>
      </w:pPr>
    </w:p>
    <w:p w:rsidR="00D15050" w:rsidRDefault="00D15050" w:rsidP="00B57E2A">
      <w:pPr>
        <w:spacing w:after="0"/>
        <w:jc w:val="both"/>
      </w:pPr>
      <w:r>
        <w:t>Zapisala Irena Florjančič</w:t>
      </w:r>
    </w:p>
    <w:p w:rsidR="003E5F55" w:rsidRDefault="003E5F55"/>
    <w:sectPr w:rsidR="003E5F55" w:rsidSect="003D0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A040E"/>
    <w:multiLevelType w:val="hybridMultilevel"/>
    <w:tmpl w:val="7DDE4D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5387E"/>
    <w:multiLevelType w:val="hybridMultilevel"/>
    <w:tmpl w:val="F482BA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2A"/>
    <w:rsid w:val="003A43C9"/>
    <w:rsid w:val="003E5F55"/>
    <w:rsid w:val="00402A1C"/>
    <w:rsid w:val="00757180"/>
    <w:rsid w:val="007B7311"/>
    <w:rsid w:val="00A47A03"/>
    <w:rsid w:val="00A67AB1"/>
    <w:rsid w:val="00B57E2A"/>
    <w:rsid w:val="00D15050"/>
    <w:rsid w:val="00D800F2"/>
    <w:rsid w:val="00D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413C8"/>
  <w15:chartTrackingRefBased/>
  <w15:docId w15:val="{0000D0FE-55C8-49C3-8FB6-72A53B2B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57E2A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57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9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3099</Characters>
  <Application>Microsoft Office Word</Application>
  <DocSecurity>4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Flok</dc:creator>
  <cp:keywords/>
  <dc:description/>
  <cp:lastModifiedBy>Ana Prevc Megusar</cp:lastModifiedBy>
  <cp:revision>2</cp:revision>
  <dcterms:created xsi:type="dcterms:W3CDTF">2017-11-20T11:36:00Z</dcterms:created>
  <dcterms:modified xsi:type="dcterms:W3CDTF">2017-11-20T11:36:00Z</dcterms:modified>
</cp:coreProperties>
</file>